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884"/>
        <w:gridCol w:w="1115"/>
        <w:gridCol w:w="1947"/>
        <w:gridCol w:w="1213"/>
      </w:tblGrid>
      <w:tr w:rsidR="00BB548D" w:rsidRPr="00EA7098" w14:paraId="20D2DFF2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6D4F934D" w14:textId="77777777" w:rsidR="00BB548D" w:rsidRPr="00EA7098" w:rsidRDefault="00BB548D" w:rsidP="003C758F">
            <w:pPr>
              <w:rPr>
                <w:lang w:val="sr-Latn-CS"/>
              </w:rPr>
            </w:pPr>
            <w:r w:rsidRPr="00EA7098">
              <w:br w:type="page"/>
              <w:t xml:space="preserve">Студијски програм: </w:t>
            </w:r>
            <w:r w:rsidRPr="00EA7098">
              <w:rPr>
                <w:i/>
              </w:rPr>
              <w:t>Финансије и банкарство</w:t>
            </w:r>
            <w:r w:rsidRPr="00EA7098">
              <w:t>, Мастер академске студије, други ниво</w:t>
            </w:r>
          </w:p>
        </w:tc>
      </w:tr>
      <w:tr w:rsidR="00BB548D" w:rsidRPr="00EA7098" w14:paraId="15D4DF3A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54E5FAD7" w14:textId="77777777" w:rsidR="00BB548D" w:rsidRPr="00EA7098" w:rsidRDefault="00BB548D" w:rsidP="003C758F">
            <w:r w:rsidRPr="00EA7098">
              <w:t xml:space="preserve">Назив предмета: </w:t>
            </w:r>
            <w:bookmarkStart w:id="0" w:name="МСЕУ"/>
            <w:bookmarkEnd w:id="0"/>
            <w:r w:rsidRPr="00EA7098">
              <w:t>Монетарни систем ЕУ</w:t>
            </w:r>
          </w:p>
        </w:tc>
      </w:tr>
      <w:tr w:rsidR="00BB548D" w:rsidRPr="00EA7098" w14:paraId="4E7F20C5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228474BC" w14:textId="6187BF9C" w:rsidR="00BB548D" w:rsidRPr="004D16BD" w:rsidRDefault="00BB548D" w:rsidP="003C758F">
            <w:r w:rsidRPr="00EA7098">
              <w:t xml:space="preserve">Наставник: </w:t>
            </w:r>
            <w:r w:rsidR="00144BBA" w:rsidRPr="00FC6EF3">
              <w:rPr>
                <w:lang w:val="sr-Cyrl-RS"/>
              </w:rPr>
              <w:t>Милошевић Милош</w:t>
            </w:r>
          </w:p>
        </w:tc>
      </w:tr>
      <w:tr w:rsidR="00BB548D" w:rsidRPr="00EA7098" w14:paraId="2083C506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7E19028D" w14:textId="77777777" w:rsidR="00BB548D" w:rsidRPr="00EA7098" w:rsidRDefault="00BB548D" w:rsidP="003C758F">
            <w:r w:rsidRPr="00EA7098">
              <w:rPr>
                <w:b/>
              </w:rPr>
              <w:t xml:space="preserve">Статус предмета: </w:t>
            </w:r>
            <w:r>
              <w:t>изборни, прва година, други семестар</w:t>
            </w:r>
          </w:p>
        </w:tc>
      </w:tr>
      <w:tr w:rsidR="00BB548D" w:rsidRPr="00EA7098" w14:paraId="4170A126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7A2A3CEF" w14:textId="77777777" w:rsidR="00BB548D" w:rsidRPr="001B08EF" w:rsidRDefault="00BB548D" w:rsidP="003C758F">
            <w:r w:rsidRPr="00EA7098">
              <w:t xml:space="preserve">Број ЕСПБ: </w:t>
            </w:r>
            <w:r>
              <w:t>7</w:t>
            </w:r>
          </w:p>
        </w:tc>
      </w:tr>
      <w:tr w:rsidR="00BB548D" w:rsidRPr="00EA7098" w14:paraId="578D8219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18E30041" w14:textId="77777777" w:rsidR="00BB548D" w:rsidRPr="00EA7098" w:rsidRDefault="00BB548D" w:rsidP="003C758F">
            <w:r w:rsidRPr="00EA7098">
              <w:rPr>
                <w:b/>
              </w:rPr>
              <w:t xml:space="preserve">Услов: </w:t>
            </w:r>
            <w:r w:rsidRPr="00EA7098">
              <w:t>нема услова</w:t>
            </w:r>
          </w:p>
        </w:tc>
      </w:tr>
      <w:tr w:rsidR="00BB548D" w:rsidRPr="00EA7098" w14:paraId="42EA8714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6AC4D3AB" w14:textId="77777777" w:rsidR="00BB548D" w:rsidRPr="00EA7098" w:rsidRDefault="00BB548D" w:rsidP="003C758F">
            <w:r w:rsidRPr="00EA7098">
              <w:t>Циљ предмета</w:t>
            </w:r>
          </w:p>
          <w:p w14:paraId="1BF9381E" w14:textId="77777777" w:rsidR="00BB548D" w:rsidRPr="00EA7098" w:rsidRDefault="00BB548D" w:rsidP="003C758F">
            <w:pPr>
              <w:rPr>
                <w:b/>
                <w:bCs/>
              </w:rPr>
            </w:pPr>
            <w:r w:rsidRPr="00EA7098">
              <w:t>Улазак Србије у ЕУ и ЕМУ налаже потребу упознавања са циљевима и инструментима монетарне политике ЕЦБ. Циљ предмета је упознавање студената са користима и трошковима уласка у ЕМУ, као и критеријумима конвергенције привиђених Мастрихитским споразумом неопходних за приступање ЕМУ. Важност познавања трансмисионог механизма монетарне политике огледа се у чињеници његовог утицаја на макроекономске агрегате као што су агрегатна тражња, производња и цена.</w:t>
            </w:r>
          </w:p>
        </w:tc>
      </w:tr>
      <w:tr w:rsidR="00BB548D" w:rsidRPr="00EA7098" w14:paraId="5CDF268D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3A4CDC3D" w14:textId="77777777" w:rsidR="00BB548D" w:rsidRPr="00EA7098" w:rsidRDefault="00BB548D" w:rsidP="003C758F">
            <w:r w:rsidRPr="00EA7098">
              <w:t xml:space="preserve">Исход предмета </w:t>
            </w:r>
          </w:p>
          <w:p w14:paraId="31A9DF10" w14:textId="4E9A07D9" w:rsidR="00BB548D" w:rsidRPr="00EA7098" w:rsidRDefault="00BB548D" w:rsidP="003C758F">
            <w:r w:rsidRPr="00EA7098">
              <w:t>Упознавање са мерама и циљевима монетарне политике ЕЦБ значајно је за обезбеђење ликвидности предузећа и институција.</w:t>
            </w:r>
            <w:r w:rsidR="003C758F">
              <w:rPr>
                <w:lang w:val="sr-Cyrl-RS"/>
              </w:rPr>
              <w:t xml:space="preserve"> </w:t>
            </w:r>
            <w:r w:rsidRPr="00EA7098">
              <w:t>Стечена знања олакшаће доношење пословних одлука при избору најповољнијих извора финансирања. Сагледавање степена конзервативности ЕЦБ код решавања асиметричних ђокова. Могући проблеми са кординацијом у ЕМУ.</w:t>
            </w:r>
          </w:p>
        </w:tc>
      </w:tr>
      <w:tr w:rsidR="00BB548D" w:rsidRPr="00EA7098" w14:paraId="13BE6C81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77D6E2D5" w14:textId="77777777" w:rsidR="00BB548D" w:rsidRPr="00EA7098" w:rsidRDefault="00BB548D" w:rsidP="003C758F">
            <w:r w:rsidRPr="00EA7098">
              <w:t>Садржај предмета</w:t>
            </w:r>
          </w:p>
          <w:p w14:paraId="09C91000" w14:textId="77777777" w:rsidR="00BB548D" w:rsidRPr="00EA7098" w:rsidRDefault="00BB548D" w:rsidP="003C758F">
            <w:r w:rsidRPr="00EA7098">
              <w:t>Теоријска настава</w:t>
            </w:r>
          </w:p>
          <w:p w14:paraId="017784FA" w14:textId="77777777" w:rsidR="00BB548D" w:rsidRDefault="00BB548D" w:rsidP="003C758F">
            <w:r w:rsidRPr="00EA7098">
              <w:t>Стварање ЕМУ, аргументи за и против монетарне уније, користи и трошкови уније, институционална структура ЕМУ, Европски систем централних банака, монетарна поликика-циљеви, стратегија и инструменти, модел организовања ЕЦБ, трансмисиони механизам монетарне политике ЕЦБ, монетарне политике централних банака земаља ЕУ које нису чланице ЕМУ.</w:t>
            </w:r>
          </w:p>
          <w:p w14:paraId="61352E67" w14:textId="77777777" w:rsidR="00BB548D" w:rsidRPr="00082ED7" w:rsidRDefault="00BB548D" w:rsidP="003C758F">
            <w:r w:rsidRPr="00082ED7">
              <w:t>Практична настава</w:t>
            </w:r>
          </w:p>
          <w:p w14:paraId="50421F7A" w14:textId="77777777" w:rsidR="00BB548D" w:rsidRPr="00082ED7" w:rsidRDefault="00BB548D" w:rsidP="003C758F">
            <w:r w:rsidRPr="00082ED7">
              <w:t>Облици рада на предмету су: п</w:t>
            </w:r>
            <w:r w:rsidRPr="00082ED7">
              <w:rPr>
                <w:lang w:val="ru-RU"/>
              </w:rPr>
              <w:t xml:space="preserve">редавања и студијски истраживачки рад. </w:t>
            </w:r>
            <w:r w:rsidRPr="00082ED7">
              <w:t>У оквиру предавања, у</w:t>
            </w:r>
            <w:r w:rsidRPr="00082ED7">
              <w:rPr>
                <w:lang w:val="ru-RU"/>
              </w:rPr>
              <w:t xml:space="preserve"> циљу што боље презентације и преношења знања, користиће се комбинација предавања, презентација и дискусија као и решавање конкретних задатака из различитих области садржаја предмета.</w:t>
            </w:r>
            <w:r w:rsidRPr="00082ED7">
              <w:t xml:space="preserve"> Метода студије случаја представљаће основ валидних истраживачких закључака.</w:t>
            </w:r>
            <w:r w:rsidRPr="00082ED7">
              <w:rPr>
                <w:lang w:val="ru-RU"/>
              </w:rPr>
              <w:t xml:space="preserve"> Семинарски рад: писање прегледног научног рада о конкретном проблему  и његова одбрана</w:t>
            </w:r>
          </w:p>
        </w:tc>
      </w:tr>
      <w:tr w:rsidR="00BB548D" w:rsidRPr="00EA7098" w14:paraId="58ED54CB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0B555AE5" w14:textId="77777777" w:rsidR="00BB548D" w:rsidRPr="00EA7098" w:rsidRDefault="00BB548D" w:rsidP="003C758F">
            <w:r w:rsidRPr="00EA7098">
              <w:t xml:space="preserve">Литература </w:t>
            </w:r>
          </w:p>
          <w:p w14:paraId="648CC859" w14:textId="77777777" w:rsidR="00BB548D" w:rsidRPr="00EA7098" w:rsidRDefault="00BB548D" w:rsidP="003C758F">
            <w:r w:rsidRPr="00EA7098">
              <w:t xml:space="preserve">1. Голубовић С., </w:t>
            </w:r>
            <w:r w:rsidRPr="00EA7098">
              <w:rPr>
                <w:i/>
              </w:rPr>
              <w:t>Европска монетарна унија,</w:t>
            </w:r>
            <w:r w:rsidRPr="00EA7098">
              <w:t xml:space="preserve"> Издавачка књижица Зорана Стојановића, Сремски Карловци, 2004.</w:t>
            </w:r>
          </w:p>
          <w:p w14:paraId="07EEF147" w14:textId="77777777" w:rsidR="00BB548D" w:rsidRPr="00EA7098" w:rsidRDefault="00BB548D" w:rsidP="003C758F">
            <w:r w:rsidRPr="00EA7098">
              <w:t xml:space="preserve">2. Прокопијевић М., </w:t>
            </w:r>
            <w:r w:rsidRPr="00EA7098">
              <w:rPr>
                <w:i/>
              </w:rPr>
              <w:t>Европска монетарна унија</w:t>
            </w:r>
            <w:r w:rsidRPr="00EA7098">
              <w:t>, Грађевинска књига, Београд, 2007</w:t>
            </w:r>
          </w:p>
          <w:p w14:paraId="74AAD654" w14:textId="77777777" w:rsidR="00BB548D" w:rsidRPr="00EA7098" w:rsidRDefault="00BB548D" w:rsidP="003C758F">
            <w:r w:rsidRPr="00EA7098">
              <w:t xml:space="preserve">3. Neyer У., </w:t>
            </w:r>
            <w:r w:rsidRPr="00EA7098">
              <w:rPr>
                <w:i/>
              </w:rPr>
              <w:t>The Design of the Euroyistems Monetary PolicyInstruments</w:t>
            </w:r>
            <w:r w:rsidRPr="00EA7098">
              <w:t>, Physica-Verlag,A Springer  Company,Heidelberg, 2007.</w:t>
            </w:r>
          </w:p>
        </w:tc>
      </w:tr>
      <w:tr w:rsidR="00BB548D" w:rsidRPr="00EA7098" w14:paraId="4E828E71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23DAC863" w14:textId="77777777" w:rsidR="00BB548D" w:rsidRDefault="00BB548D" w:rsidP="003C758F"/>
          <w:p w14:paraId="1B46533C" w14:textId="77777777" w:rsidR="00BB548D" w:rsidRPr="00EA7098" w:rsidRDefault="00BB548D" w:rsidP="003C758F">
            <w:r w:rsidRPr="00EA7098">
              <w:rPr>
                <w:bCs/>
              </w:rPr>
              <w:t xml:space="preserve">Број часова </w:t>
            </w:r>
            <w:r w:rsidRPr="00EA7098">
              <w:t xml:space="preserve"> активне наставе</w:t>
            </w:r>
          </w:p>
          <w:p w14:paraId="73F3F365" w14:textId="77777777" w:rsidR="00BB548D" w:rsidRPr="00EA7098" w:rsidRDefault="00BB548D" w:rsidP="003C758F"/>
        </w:tc>
        <w:tc>
          <w:tcPr>
            <w:tcW w:w="2999" w:type="dxa"/>
            <w:gridSpan w:val="2"/>
            <w:vAlign w:val="center"/>
          </w:tcPr>
          <w:p w14:paraId="70CD5848" w14:textId="77777777" w:rsidR="00BB548D" w:rsidRPr="001A20A4" w:rsidRDefault="00BB548D" w:rsidP="003C758F">
            <w:r>
              <w:t>Предавања</w:t>
            </w:r>
            <w:r w:rsidRPr="003B2697">
              <w:t xml:space="preserve">: </w:t>
            </w:r>
            <w:r w:rsidR="001A20A4">
              <w:t>3</w:t>
            </w:r>
          </w:p>
        </w:tc>
        <w:tc>
          <w:tcPr>
            <w:tcW w:w="3160" w:type="dxa"/>
            <w:gridSpan w:val="2"/>
            <w:vAlign w:val="center"/>
          </w:tcPr>
          <w:p w14:paraId="10C0C642" w14:textId="77777777" w:rsidR="00BB548D" w:rsidRPr="001A20A4" w:rsidRDefault="00BB548D" w:rsidP="003C758F">
            <w:r>
              <w:t>Вежбе</w:t>
            </w:r>
            <w:r w:rsidRPr="003B2697">
              <w:t xml:space="preserve">: </w:t>
            </w:r>
            <w:r w:rsidR="001A20A4">
              <w:rPr>
                <w:bCs/>
              </w:rPr>
              <w:t>2</w:t>
            </w:r>
          </w:p>
        </w:tc>
      </w:tr>
      <w:tr w:rsidR="00BB548D" w:rsidRPr="00EA7098" w14:paraId="515E0F33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019F754C" w14:textId="77777777" w:rsidR="00BB548D" w:rsidRPr="00EA7098" w:rsidRDefault="00BB548D" w:rsidP="003C758F">
            <w:r w:rsidRPr="00EA7098">
              <w:t>Методе извођења наставе</w:t>
            </w:r>
          </w:p>
          <w:p w14:paraId="5D639BD4" w14:textId="77777777" w:rsidR="00BB548D" w:rsidRPr="00EA7098" w:rsidRDefault="00BB548D" w:rsidP="003C758F">
            <w:r w:rsidRPr="00EA7098">
              <w:rPr>
                <w:lang w:val="ru-RU"/>
              </w:rPr>
              <w:t>Предавања су аудиторна и реализује се уз помоћ видео презентације. Вежбе су: 1. демонстративне, где се презентују видео презентације – примери финансијских извештаја са берзи, и остале документације презентују и бране семинарски задаци; 2. консултативне, где се обавља менторинг током израде семинарских задатака; 3. показне, где се студенти практично упознају са берзанским пословима као и проблематиком у конкретним пословним системима и брокерско дилерским друштвима</w:t>
            </w:r>
            <w:r w:rsidRPr="00EA7098">
              <w:t>.</w:t>
            </w:r>
          </w:p>
        </w:tc>
      </w:tr>
      <w:tr w:rsidR="00BB548D" w:rsidRPr="00EA7098" w14:paraId="00B1DA63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2079EE26" w14:textId="77777777" w:rsidR="00BB548D" w:rsidRPr="00EA7098" w:rsidRDefault="00BB548D" w:rsidP="003C758F">
            <w:r w:rsidRPr="00EA7098">
              <w:lastRenderedPageBreak/>
              <w:t>Оцена  знања (максимални број поена 100)</w:t>
            </w:r>
          </w:p>
        </w:tc>
      </w:tr>
      <w:tr w:rsidR="00BB548D" w:rsidRPr="00EA7098" w14:paraId="3F66DF72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4213AC61" w14:textId="77777777" w:rsidR="00BB548D" w:rsidRPr="00EA7098" w:rsidRDefault="00BB548D" w:rsidP="003C758F">
            <w:r w:rsidRPr="00EA7098"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07C8E9B9" w14:textId="77777777" w:rsidR="00BB548D" w:rsidRPr="00EA7098" w:rsidRDefault="00BB548D" w:rsidP="003C758F">
            <w:r w:rsidRPr="00EA7098">
              <w:t>поена</w:t>
            </w:r>
          </w:p>
          <w:p w14:paraId="41BB0D0A" w14:textId="77777777" w:rsidR="00BB548D" w:rsidRPr="00EA7098" w:rsidRDefault="00BB548D" w:rsidP="003C758F"/>
        </w:tc>
        <w:tc>
          <w:tcPr>
            <w:tcW w:w="3062" w:type="dxa"/>
            <w:gridSpan w:val="2"/>
            <w:vAlign w:val="center"/>
          </w:tcPr>
          <w:p w14:paraId="3FF00044" w14:textId="77777777" w:rsidR="00BB548D" w:rsidRPr="00EA7098" w:rsidRDefault="00BB548D" w:rsidP="003C758F">
            <w:pPr>
              <w:rPr>
                <w:bCs/>
              </w:rPr>
            </w:pPr>
            <w:r w:rsidRPr="00EA7098"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7546FD0D" w14:textId="77777777" w:rsidR="00BB548D" w:rsidRPr="00EA7098" w:rsidRDefault="00BB548D" w:rsidP="003C758F">
            <w:pPr>
              <w:rPr>
                <w:b/>
                <w:bCs/>
              </w:rPr>
            </w:pPr>
            <w:r w:rsidRPr="00EA7098">
              <w:t>поена</w:t>
            </w:r>
          </w:p>
        </w:tc>
      </w:tr>
      <w:tr w:rsidR="00BB548D" w:rsidRPr="00EA7098" w14:paraId="193592C2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6896FED7" w14:textId="77777777" w:rsidR="00BB548D" w:rsidRPr="00EA7098" w:rsidRDefault="00BB548D" w:rsidP="003C758F">
            <w:pPr>
              <w:rPr>
                <w:i/>
              </w:rPr>
            </w:pPr>
            <w:r w:rsidRPr="00EA7098"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03BB6390" w14:textId="77777777" w:rsidR="00BB548D" w:rsidRPr="00EA7098" w:rsidRDefault="00BB548D" w:rsidP="003C758F">
            <w:r w:rsidRPr="00EA7098"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46E73C8A" w14:textId="77777777" w:rsidR="00BB548D" w:rsidRPr="00EA7098" w:rsidRDefault="00BB548D" w:rsidP="003C758F">
            <w:pPr>
              <w:rPr>
                <w:i/>
              </w:rPr>
            </w:pPr>
            <w:r w:rsidRPr="00EA7098">
              <w:t>писмени испит</w:t>
            </w:r>
          </w:p>
        </w:tc>
        <w:tc>
          <w:tcPr>
            <w:tcW w:w="1213" w:type="dxa"/>
            <w:vAlign w:val="center"/>
          </w:tcPr>
          <w:p w14:paraId="300A60F0" w14:textId="77777777" w:rsidR="00BB548D" w:rsidRPr="00EA7098" w:rsidRDefault="00BB548D" w:rsidP="003C758F">
            <w:r w:rsidRPr="00EA7098">
              <w:t>30</w:t>
            </w:r>
          </w:p>
        </w:tc>
      </w:tr>
      <w:tr w:rsidR="00BB548D" w:rsidRPr="00EA7098" w14:paraId="7A726648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374BDF77" w14:textId="77777777" w:rsidR="00BB548D" w:rsidRPr="00EA7098" w:rsidRDefault="00BB548D" w:rsidP="003C758F">
            <w:pPr>
              <w:rPr>
                <w:i/>
              </w:rPr>
            </w:pPr>
            <w:r w:rsidRPr="00EA7098">
              <w:t>практична настава</w:t>
            </w:r>
          </w:p>
        </w:tc>
        <w:tc>
          <w:tcPr>
            <w:tcW w:w="1884" w:type="dxa"/>
            <w:vAlign w:val="center"/>
          </w:tcPr>
          <w:p w14:paraId="74C89A8A" w14:textId="77777777" w:rsidR="00BB548D" w:rsidRPr="00EA7098" w:rsidRDefault="00BB548D" w:rsidP="003C758F">
            <w:r w:rsidRPr="00EA7098"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4EDD96D2" w14:textId="77777777" w:rsidR="00BB548D" w:rsidRPr="00EA7098" w:rsidRDefault="00BB548D" w:rsidP="003C758F">
            <w:pPr>
              <w:rPr>
                <w:i/>
              </w:rPr>
            </w:pPr>
            <w:r w:rsidRPr="00EA7098">
              <w:t>усмени испт</w:t>
            </w:r>
          </w:p>
        </w:tc>
        <w:tc>
          <w:tcPr>
            <w:tcW w:w="1213" w:type="dxa"/>
            <w:vAlign w:val="center"/>
          </w:tcPr>
          <w:p w14:paraId="25EFC557" w14:textId="77777777" w:rsidR="00BB548D" w:rsidRPr="00757C22" w:rsidRDefault="00BB548D" w:rsidP="003C758F">
            <w:r>
              <w:t>-</w:t>
            </w:r>
          </w:p>
        </w:tc>
      </w:tr>
      <w:tr w:rsidR="00BB548D" w:rsidRPr="00EA7098" w14:paraId="6E1E656D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11CAC388" w14:textId="77777777" w:rsidR="00BB548D" w:rsidRPr="00EA7098" w:rsidRDefault="00BB548D" w:rsidP="003C758F">
            <w:pPr>
              <w:rPr>
                <w:i/>
              </w:rPr>
            </w:pPr>
            <w:r w:rsidRPr="00EA7098">
              <w:t>колоквијум-и</w:t>
            </w:r>
          </w:p>
        </w:tc>
        <w:tc>
          <w:tcPr>
            <w:tcW w:w="1884" w:type="dxa"/>
            <w:vAlign w:val="center"/>
          </w:tcPr>
          <w:p w14:paraId="2ABBF71F" w14:textId="77777777" w:rsidR="00BB548D" w:rsidRPr="00EA7098" w:rsidRDefault="00BB548D" w:rsidP="003C758F">
            <w:r>
              <w:t>3</w:t>
            </w:r>
            <w:r w:rsidRPr="00EA7098">
              <w:t>0</w:t>
            </w:r>
          </w:p>
        </w:tc>
        <w:tc>
          <w:tcPr>
            <w:tcW w:w="3062" w:type="dxa"/>
            <w:gridSpan w:val="2"/>
            <w:vAlign w:val="center"/>
          </w:tcPr>
          <w:p w14:paraId="08043B61" w14:textId="77777777" w:rsidR="00BB548D" w:rsidRPr="00EA7098" w:rsidRDefault="00BB548D" w:rsidP="003C758F">
            <w:r w:rsidRPr="00EA7098">
              <w:t>..........</w:t>
            </w:r>
          </w:p>
        </w:tc>
        <w:tc>
          <w:tcPr>
            <w:tcW w:w="1213" w:type="dxa"/>
            <w:vAlign w:val="center"/>
          </w:tcPr>
          <w:p w14:paraId="2566A6EC" w14:textId="77777777" w:rsidR="00BB548D" w:rsidRPr="00EA7098" w:rsidRDefault="00BB548D" w:rsidP="003C758F"/>
        </w:tc>
      </w:tr>
      <w:tr w:rsidR="00BB548D" w:rsidRPr="00EA7098" w14:paraId="068DC370" w14:textId="77777777" w:rsidTr="00503D55">
        <w:trPr>
          <w:trHeight w:val="227"/>
        </w:trPr>
        <w:tc>
          <w:tcPr>
            <w:tcW w:w="3020" w:type="dxa"/>
            <w:vAlign w:val="center"/>
          </w:tcPr>
          <w:p w14:paraId="1F26018F" w14:textId="77777777" w:rsidR="00BB548D" w:rsidRPr="00EA7098" w:rsidRDefault="00BB548D" w:rsidP="003C758F">
            <w:r w:rsidRPr="00EA7098">
              <w:t>семинар-и</w:t>
            </w:r>
          </w:p>
        </w:tc>
        <w:tc>
          <w:tcPr>
            <w:tcW w:w="1884" w:type="dxa"/>
            <w:vAlign w:val="center"/>
          </w:tcPr>
          <w:p w14:paraId="10168147" w14:textId="77777777" w:rsidR="00BB548D" w:rsidRPr="00EA7098" w:rsidRDefault="00BB548D" w:rsidP="003C758F">
            <w:r w:rsidRPr="00EA7098">
              <w:t>20</w:t>
            </w:r>
          </w:p>
        </w:tc>
        <w:tc>
          <w:tcPr>
            <w:tcW w:w="3062" w:type="dxa"/>
            <w:gridSpan w:val="2"/>
            <w:vAlign w:val="center"/>
          </w:tcPr>
          <w:p w14:paraId="4A6A285B" w14:textId="77777777" w:rsidR="00BB548D" w:rsidRPr="00EA7098" w:rsidRDefault="00BB548D" w:rsidP="003C758F"/>
        </w:tc>
        <w:tc>
          <w:tcPr>
            <w:tcW w:w="1213" w:type="dxa"/>
            <w:vAlign w:val="center"/>
          </w:tcPr>
          <w:p w14:paraId="659B014D" w14:textId="77777777" w:rsidR="00BB548D" w:rsidRPr="00EA7098" w:rsidRDefault="00BB548D" w:rsidP="003C758F"/>
        </w:tc>
      </w:tr>
    </w:tbl>
    <w:p w14:paraId="078F58B6" w14:textId="77777777" w:rsidR="00E77C70" w:rsidRDefault="00E77C70" w:rsidP="003C758F"/>
    <w:sectPr w:rsidR="00E77C70" w:rsidSect="00BB548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8D"/>
    <w:rsid w:val="00144BBA"/>
    <w:rsid w:val="001A20A4"/>
    <w:rsid w:val="003C758F"/>
    <w:rsid w:val="004D16BD"/>
    <w:rsid w:val="005A54F2"/>
    <w:rsid w:val="00A336E1"/>
    <w:rsid w:val="00BB548D"/>
    <w:rsid w:val="00CA2A1C"/>
    <w:rsid w:val="00E77C70"/>
    <w:rsid w:val="00F876F5"/>
    <w:rsid w:val="00FC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B5B4B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C758F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2020-10-20T13:06:00Z</dcterms:created>
  <dcterms:modified xsi:type="dcterms:W3CDTF">2025-07-03T10:58:00Z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1c24ca20-fdee-446b-a84f-622133bb20af</vt:lpwstr>
  </property>
</Properties>
</file>